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D9E91" w14:textId="77777777" w:rsidR="00D41269" w:rsidRDefault="00000000">
      <w:pPr>
        <w:pStyle w:val="Heading1"/>
        <w:jc w:val="center"/>
      </w:pPr>
      <w:r>
        <w:t>Company Knowledge Base Analysis</w:t>
      </w:r>
    </w:p>
    <w:p w14:paraId="49590AA0" w14:textId="77777777" w:rsidR="00D41269" w:rsidRDefault="00000000">
      <w:pPr>
        <w:spacing w:after="300"/>
        <w:jc w:val="center"/>
      </w:pPr>
      <w:r>
        <w:rPr>
          <w:i/>
          <w:iCs/>
          <w:sz w:val="22"/>
          <w:szCs w:val="22"/>
        </w:rPr>
        <w:t>Executive Summary &amp; Key Insights</w:t>
      </w:r>
    </w:p>
    <w:p w14:paraId="77F96FD1" w14:textId="77777777" w:rsidR="00D41269" w:rsidRDefault="00000000">
      <w:pPr>
        <w:pStyle w:val="Heading2"/>
      </w:pPr>
      <w:r>
        <w:t>Business Overview</w:t>
      </w:r>
    </w:p>
    <w:p w14:paraId="3743A102" w14:textId="77777777" w:rsidR="00D41269" w:rsidRDefault="00000000">
      <w:pPr>
        <w:spacing w:after="150"/>
      </w:pPr>
      <w:r>
        <w:t>The company operates as a multi-channel bicycle and cycling products distributor serving both direct-to-consumer and B2B reseller markets across North America, Europe, and Pacific regions. With a lean team of 16 employees, the company has achieved $109.8M in annual revenue across 121,253 transactions.</w:t>
      </w:r>
    </w:p>
    <w:p w14:paraId="38849BC6" w14:textId="77777777" w:rsidR="00D41269" w:rsidRDefault="00000000">
      <w:pPr>
        <w:pStyle w:val="Heading2"/>
      </w:pPr>
      <w:r>
        <w:t>Financial Performance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679"/>
      </w:tblGrid>
      <w:tr w:rsidR="00D41269" w14:paraId="56102058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258D0CC" w14:textId="77777777" w:rsidR="00D41269" w:rsidRDefault="00000000">
            <w:r>
              <w:rPr>
                <w:b/>
                <w:bCs/>
                <w:sz w:val="22"/>
                <w:szCs w:val="22"/>
              </w:rPr>
              <w:t>Metric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44F0218" w14:textId="77777777" w:rsidR="00D41269" w:rsidRDefault="00000000">
            <w:r>
              <w:rPr>
                <w:b/>
                <w:bCs/>
                <w:sz w:val="22"/>
                <w:szCs w:val="22"/>
              </w:rPr>
              <w:t>Value</w:t>
            </w:r>
          </w:p>
        </w:tc>
      </w:tr>
      <w:tr w:rsidR="00D41269" w14:paraId="7B93C157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3B5B0B4" w14:textId="77777777" w:rsidR="00D41269" w:rsidRDefault="00000000">
            <w:r>
              <w:rPr>
                <w:sz w:val="22"/>
                <w:szCs w:val="22"/>
              </w:rPr>
              <w:t>Total Revenue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C48AFF9" w14:textId="77777777" w:rsidR="00D41269" w:rsidRDefault="00000000">
            <w:r>
              <w:rPr>
                <w:sz w:val="22"/>
                <w:szCs w:val="22"/>
              </w:rPr>
              <w:t>$109,809,274</w:t>
            </w:r>
          </w:p>
        </w:tc>
      </w:tr>
      <w:tr w:rsidR="00D41269" w14:paraId="73B0391B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E6D174C" w14:textId="77777777" w:rsidR="00D41269" w:rsidRDefault="00000000">
            <w:r>
              <w:rPr>
                <w:sz w:val="22"/>
                <w:szCs w:val="22"/>
              </w:rPr>
              <w:t>Total Transactions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A239FA4" w14:textId="77777777" w:rsidR="00D41269" w:rsidRDefault="00000000">
            <w:r>
              <w:rPr>
                <w:sz w:val="22"/>
                <w:szCs w:val="22"/>
              </w:rPr>
              <w:t>121,253</w:t>
            </w:r>
          </w:p>
        </w:tc>
      </w:tr>
      <w:tr w:rsidR="00D41269" w14:paraId="293CDCF4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A8BBB8A" w14:textId="77777777" w:rsidR="00D41269" w:rsidRDefault="00000000">
            <w:r>
              <w:rPr>
                <w:sz w:val="22"/>
                <w:szCs w:val="22"/>
              </w:rPr>
              <w:t>Average Transaction Value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DA68B5A" w14:textId="77777777" w:rsidR="00D41269" w:rsidRDefault="00000000">
            <w:r>
              <w:rPr>
                <w:sz w:val="22"/>
                <w:szCs w:val="22"/>
              </w:rPr>
              <w:t>$906</w:t>
            </w:r>
          </w:p>
        </w:tc>
      </w:tr>
      <w:tr w:rsidR="00D41269" w14:paraId="3A2B4722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EF54DCA" w14:textId="77777777" w:rsidR="00D41269" w:rsidRDefault="00000000">
            <w:r>
              <w:rPr>
                <w:sz w:val="22"/>
                <w:szCs w:val="22"/>
              </w:rPr>
              <w:t>Total Units Sold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3B60D5B" w14:textId="77777777" w:rsidR="00D41269" w:rsidRDefault="00000000">
            <w:r>
              <w:rPr>
                <w:sz w:val="22"/>
                <w:szCs w:val="22"/>
              </w:rPr>
              <w:t>274,776</w:t>
            </w:r>
          </w:p>
        </w:tc>
      </w:tr>
      <w:tr w:rsidR="00D41269" w14:paraId="664307BA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954AC7C" w14:textId="0C858588" w:rsidR="00D41269" w:rsidRDefault="00D41269"/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069CF50" w14:textId="594D7B71" w:rsidR="00D41269" w:rsidRDefault="00D41269"/>
        </w:tc>
      </w:tr>
    </w:tbl>
    <w:p w14:paraId="348C5857" w14:textId="77777777" w:rsidR="00D41269" w:rsidRDefault="00D41269"/>
    <w:p w14:paraId="0725DF6B" w14:textId="77777777" w:rsidR="00D41269" w:rsidRDefault="00000000">
      <w:pPr>
        <w:pStyle w:val="Heading2"/>
      </w:pPr>
      <w:r>
        <w:t>Sales Channels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3119"/>
        <w:gridCol w:w="3119"/>
      </w:tblGrid>
      <w:tr w:rsidR="00D41269" w14:paraId="6813EB53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2F8CF3B" w14:textId="77777777" w:rsidR="00D41269" w:rsidRDefault="00000000">
            <w:r>
              <w:rPr>
                <w:b/>
                <w:bCs/>
                <w:sz w:val="22"/>
                <w:szCs w:val="22"/>
              </w:rPr>
              <w:t>Channel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E32EF97" w14:textId="77777777" w:rsidR="00D41269" w:rsidRDefault="00000000">
            <w:r>
              <w:rPr>
                <w:b/>
                <w:bCs/>
                <w:sz w:val="22"/>
                <w:szCs w:val="22"/>
              </w:rPr>
              <w:t>Transactions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31E2F92" w14:textId="77777777" w:rsidR="00D41269" w:rsidRDefault="00000000">
            <w:r>
              <w:rPr>
                <w:b/>
                <w:bCs/>
                <w:sz w:val="22"/>
                <w:szCs w:val="22"/>
              </w:rPr>
              <w:t>Revenue</w:t>
            </w:r>
          </w:p>
        </w:tc>
      </w:tr>
      <w:tr w:rsidR="00D41269" w14:paraId="01DF8A7C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F37AF95" w14:textId="77777777" w:rsidR="00D41269" w:rsidRDefault="00000000">
            <w:r>
              <w:rPr>
                <w:sz w:val="22"/>
                <w:szCs w:val="22"/>
              </w:rPr>
              <w:t>Direct-to-Consumer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657DE90" w14:textId="77777777" w:rsidR="00D41269" w:rsidRDefault="00000000">
            <w:r>
              <w:rPr>
                <w:sz w:val="22"/>
                <w:szCs w:val="22"/>
              </w:rPr>
              <w:t>60,398 (49.8%)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40228AF" w14:textId="77777777" w:rsidR="00D41269" w:rsidRDefault="00000000">
            <w:r>
              <w:rPr>
                <w:sz w:val="22"/>
                <w:szCs w:val="22"/>
              </w:rPr>
              <w:t>$29.4M (26.7%)</w:t>
            </w:r>
          </w:p>
        </w:tc>
      </w:tr>
      <w:tr w:rsidR="00D41269" w14:paraId="5B1E2D24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7D06067" w14:textId="77777777" w:rsidR="00D41269" w:rsidRDefault="00000000">
            <w:r>
              <w:rPr>
                <w:sz w:val="22"/>
                <w:szCs w:val="22"/>
              </w:rPr>
              <w:t>Reseller Network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00F59D1" w14:textId="77777777" w:rsidR="00D41269" w:rsidRDefault="00000000">
            <w:r>
              <w:rPr>
                <w:sz w:val="22"/>
                <w:szCs w:val="22"/>
              </w:rPr>
              <w:t>60,855 (50.2%)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F55DD9" w14:textId="77777777" w:rsidR="00D41269" w:rsidRDefault="00000000">
            <w:r>
              <w:rPr>
                <w:sz w:val="22"/>
                <w:szCs w:val="22"/>
              </w:rPr>
              <w:t>$80.5M (73.3%)</w:t>
            </w:r>
          </w:p>
        </w:tc>
      </w:tr>
    </w:tbl>
    <w:p w14:paraId="2FB699B7" w14:textId="77777777" w:rsidR="00D41269" w:rsidRDefault="00D41269"/>
    <w:p w14:paraId="0B33E0F1" w14:textId="77777777" w:rsidR="00D41269" w:rsidRDefault="00000000">
      <w:pPr>
        <w:pStyle w:val="Heading2"/>
      </w:pPr>
      <w:r>
        <w:t>Top Geographic Markets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9"/>
        <w:gridCol w:w="3119"/>
      </w:tblGrid>
      <w:tr w:rsidR="00D41269" w14:paraId="257A1369" w14:textId="77777777">
        <w:tblPrEx>
          <w:tblCellMar>
            <w:top w:w="0" w:type="dxa"/>
            <w:bottom w:w="0" w:type="dxa"/>
          </w:tblCellMar>
        </w:tblPrEx>
        <w:tc>
          <w:tcPr>
            <w:tcW w:w="624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04940C3" w14:textId="77777777" w:rsidR="00D41269" w:rsidRDefault="00000000">
            <w:r>
              <w:rPr>
                <w:b/>
                <w:bCs/>
                <w:sz w:val="22"/>
                <w:szCs w:val="22"/>
              </w:rPr>
              <w:t>Territory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546500E" w14:textId="77777777" w:rsidR="00D41269" w:rsidRDefault="00000000">
            <w:r>
              <w:rPr>
                <w:b/>
                <w:bCs/>
                <w:sz w:val="22"/>
                <w:szCs w:val="22"/>
              </w:rPr>
              <w:t>Revenue</w:t>
            </w:r>
          </w:p>
        </w:tc>
      </w:tr>
      <w:tr w:rsidR="00D41269" w14:paraId="2D0AC8BB" w14:textId="77777777">
        <w:tblPrEx>
          <w:tblCellMar>
            <w:top w:w="0" w:type="dxa"/>
            <w:bottom w:w="0" w:type="dxa"/>
          </w:tblCellMar>
        </w:tblPrEx>
        <w:tc>
          <w:tcPr>
            <w:tcW w:w="624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7477364" w14:textId="77777777" w:rsidR="00D41269" w:rsidRDefault="00000000">
            <w:r>
              <w:rPr>
                <w:sz w:val="22"/>
                <w:szCs w:val="22"/>
              </w:rPr>
              <w:t>Southwest, United States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B22B1C5" w14:textId="77777777" w:rsidR="00D41269" w:rsidRDefault="00000000">
            <w:r>
              <w:rPr>
                <w:sz w:val="22"/>
                <w:szCs w:val="22"/>
              </w:rPr>
              <w:t>$24.2M</w:t>
            </w:r>
          </w:p>
        </w:tc>
      </w:tr>
      <w:tr w:rsidR="00D41269" w14:paraId="54C0B02B" w14:textId="77777777">
        <w:tblPrEx>
          <w:tblCellMar>
            <w:top w:w="0" w:type="dxa"/>
            <w:bottom w:w="0" w:type="dxa"/>
          </w:tblCellMar>
        </w:tblPrEx>
        <w:tc>
          <w:tcPr>
            <w:tcW w:w="624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1C372A5" w14:textId="77777777" w:rsidR="00D41269" w:rsidRDefault="00000000">
            <w:r>
              <w:rPr>
                <w:sz w:val="22"/>
                <w:szCs w:val="22"/>
              </w:rPr>
              <w:t>Canada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211ED13" w14:textId="77777777" w:rsidR="00D41269" w:rsidRDefault="00000000">
            <w:r>
              <w:rPr>
                <w:sz w:val="22"/>
                <w:szCs w:val="22"/>
              </w:rPr>
              <w:t>$16.4M</w:t>
            </w:r>
          </w:p>
        </w:tc>
      </w:tr>
      <w:tr w:rsidR="00D41269" w14:paraId="35045BC5" w14:textId="77777777">
        <w:tblPrEx>
          <w:tblCellMar>
            <w:top w:w="0" w:type="dxa"/>
            <w:bottom w:w="0" w:type="dxa"/>
          </w:tblCellMar>
        </w:tblPrEx>
        <w:tc>
          <w:tcPr>
            <w:tcW w:w="624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333949" w14:textId="77777777" w:rsidR="00D41269" w:rsidRDefault="00000000">
            <w:r>
              <w:rPr>
                <w:sz w:val="22"/>
                <w:szCs w:val="22"/>
              </w:rPr>
              <w:t>Northwest, United States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B29934A" w14:textId="77777777" w:rsidR="00D41269" w:rsidRDefault="00000000">
            <w:r>
              <w:rPr>
                <w:sz w:val="22"/>
                <w:szCs w:val="22"/>
              </w:rPr>
              <w:t>$16.1M</w:t>
            </w:r>
          </w:p>
        </w:tc>
      </w:tr>
      <w:tr w:rsidR="00D41269" w14:paraId="5DA5CF0E" w14:textId="77777777">
        <w:tblPrEx>
          <w:tblCellMar>
            <w:top w:w="0" w:type="dxa"/>
            <w:bottom w:w="0" w:type="dxa"/>
          </w:tblCellMar>
        </w:tblPrEx>
        <w:tc>
          <w:tcPr>
            <w:tcW w:w="624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3415EF9" w14:textId="77777777" w:rsidR="00D41269" w:rsidRDefault="00000000">
            <w:r>
              <w:rPr>
                <w:sz w:val="22"/>
                <w:szCs w:val="22"/>
              </w:rPr>
              <w:t>Australia</w:t>
            </w:r>
          </w:p>
        </w:tc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DE53817" w14:textId="77777777" w:rsidR="00D41269" w:rsidRDefault="00000000">
            <w:r>
              <w:rPr>
                <w:sz w:val="22"/>
                <w:szCs w:val="22"/>
              </w:rPr>
              <w:t>$10.7M</w:t>
            </w:r>
          </w:p>
        </w:tc>
      </w:tr>
    </w:tbl>
    <w:p w14:paraId="3D0530DD" w14:textId="77777777" w:rsidR="00D41269" w:rsidRDefault="00D41269"/>
    <w:p w14:paraId="27EE35AC" w14:textId="77777777" w:rsidR="00EB2CCA" w:rsidRDefault="00EB2CCA"/>
    <w:p w14:paraId="71F3ADE5" w14:textId="77777777" w:rsidR="00EB2CCA" w:rsidRDefault="00EB2CCA"/>
    <w:p w14:paraId="73E8303A" w14:textId="77777777" w:rsidR="00EB2CCA" w:rsidRDefault="00EB2CCA"/>
    <w:p w14:paraId="67106B58" w14:textId="77777777" w:rsidR="00EB2CCA" w:rsidRDefault="00EB2CCA"/>
    <w:p w14:paraId="344C972B" w14:textId="77777777" w:rsidR="00EB2CCA" w:rsidRDefault="00EB2CCA"/>
    <w:p w14:paraId="0B3073E4" w14:textId="77777777" w:rsidR="00D41269" w:rsidRDefault="00000000">
      <w:pPr>
        <w:pStyle w:val="Heading2"/>
      </w:pPr>
      <w:r>
        <w:lastRenderedPageBreak/>
        <w:t>Product Portfolio</w:t>
      </w:r>
    </w:p>
    <w:p w14:paraId="5CDAB0FE" w14:textId="77777777" w:rsidR="00D41269" w:rsidRDefault="00000000">
      <w:pPr>
        <w:spacing w:after="150"/>
      </w:pPr>
      <w:r>
        <w:t>397 total SKUs across four categories, with bikes representing 86% of revenue despite being 31% of products.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079"/>
        <w:gridCol w:w="2080"/>
        <w:gridCol w:w="2080"/>
      </w:tblGrid>
      <w:tr w:rsidR="00D41269" w14:paraId="2C810B9F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CC4DED5" w14:textId="77777777" w:rsidR="00D41269" w:rsidRDefault="00000000">
            <w:r>
              <w:rPr>
                <w:b/>
                <w:bCs/>
                <w:sz w:val="22"/>
                <w:szCs w:val="22"/>
              </w:rPr>
              <w:t>Category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A5740F" w14:textId="77777777" w:rsidR="00D41269" w:rsidRDefault="00000000">
            <w:r>
              <w:rPr>
                <w:b/>
                <w:bCs/>
                <w:sz w:val="22"/>
                <w:szCs w:val="22"/>
              </w:rPr>
              <w:t>SKUs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16245C1" w14:textId="77777777" w:rsidR="00D41269" w:rsidRDefault="00000000">
            <w:r>
              <w:rPr>
                <w:b/>
                <w:bCs/>
                <w:sz w:val="22"/>
                <w:szCs w:val="22"/>
              </w:rPr>
              <w:t>Revenue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21AE2F2" w14:textId="77777777" w:rsidR="00D41269" w:rsidRDefault="00000000">
            <w:r>
              <w:rPr>
                <w:b/>
                <w:bCs/>
                <w:sz w:val="22"/>
                <w:szCs w:val="22"/>
              </w:rPr>
              <w:t>Units</w:t>
            </w:r>
          </w:p>
        </w:tc>
      </w:tr>
      <w:tr w:rsidR="00D41269" w14:paraId="48D45EC9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DA7A4F5" w14:textId="77777777" w:rsidR="00D41269" w:rsidRDefault="00000000">
            <w:r>
              <w:rPr>
                <w:sz w:val="22"/>
                <w:szCs w:val="22"/>
              </w:rPr>
              <w:t>Bikes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3702ECF" w14:textId="77777777" w:rsidR="00D41269" w:rsidRDefault="00000000">
            <w:r>
              <w:rPr>
                <w:sz w:val="22"/>
                <w:szCs w:val="22"/>
              </w:rPr>
              <w:t>125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1C092F2" w14:textId="77777777" w:rsidR="00D41269" w:rsidRDefault="00000000">
            <w:r>
              <w:rPr>
                <w:sz w:val="22"/>
                <w:szCs w:val="22"/>
              </w:rPr>
              <w:t>$94.6M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3D1F5EE" w14:textId="77777777" w:rsidR="00D41269" w:rsidRDefault="00000000">
            <w:r>
              <w:rPr>
                <w:sz w:val="22"/>
                <w:szCs w:val="22"/>
              </w:rPr>
              <w:t>90,220</w:t>
            </w:r>
          </w:p>
        </w:tc>
      </w:tr>
      <w:tr w:rsidR="00D41269" w14:paraId="2609531F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6452F1F" w14:textId="77777777" w:rsidR="00D41269" w:rsidRDefault="00000000">
            <w:r>
              <w:rPr>
                <w:sz w:val="22"/>
                <w:szCs w:val="22"/>
              </w:rPr>
              <w:t>Components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72D7387" w14:textId="77777777" w:rsidR="00D41269" w:rsidRDefault="00000000">
            <w:r>
              <w:rPr>
                <w:sz w:val="22"/>
                <w:szCs w:val="22"/>
              </w:rPr>
              <w:t>189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5B5F5E2" w14:textId="77777777" w:rsidR="00D41269" w:rsidRDefault="00000000">
            <w:r>
              <w:rPr>
                <w:sz w:val="22"/>
                <w:szCs w:val="22"/>
              </w:rPr>
              <w:t>$11.8M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0A6B20C" w14:textId="77777777" w:rsidR="00D41269" w:rsidRDefault="00000000">
            <w:r>
              <w:rPr>
                <w:sz w:val="22"/>
                <w:szCs w:val="22"/>
              </w:rPr>
              <w:t>49,027</w:t>
            </w:r>
          </w:p>
        </w:tc>
      </w:tr>
      <w:tr w:rsidR="00D41269" w14:paraId="681ED992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EC6A128" w14:textId="77777777" w:rsidR="00D41269" w:rsidRDefault="00000000">
            <w:r>
              <w:rPr>
                <w:sz w:val="22"/>
                <w:szCs w:val="22"/>
              </w:rPr>
              <w:t>Clothing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5214DA7" w14:textId="77777777" w:rsidR="00D41269" w:rsidRDefault="00000000">
            <w:r>
              <w:rPr>
                <w:sz w:val="22"/>
                <w:szCs w:val="22"/>
              </w:rPr>
              <w:t>48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9ACDC81" w14:textId="77777777" w:rsidR="00D41269" w:rsidRDefault="00000000">
            <w:r>
              <w:rPr>
                <w:sz w:val="22"/>
                <w:szCs w:val="22"/>
              </w:rPr>
              <w:t>$2.1M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7941CB9" w14:textId="77777777" w:rsidR="00D41269" w:rsidRDefault="00000000">
            <w:r>
              <w:rPr>
                <w:sz w:val="22"/>
                <w:szCs w:val="22"/>
              </w:rPr>
              <w:t>73,598</w:t>
            </w:r>
          </w:p>
        </w:tc>
      </w:tr>
      <w:tr w:rsidR="00D41269" w14:paraId="5D22446D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28D9341" w14:textId="77777777" w:rsidR="00D41269" w:rsidRDefault="00000000">
            <w:r>
              <w:rPr>
                <w:sz w:val="22"/>
                <w:szCs w:val="22"/>
              </w:rPr>
              <w:t>Accessories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C56D698" w14:textId="77777777" w:rsidR="00D41269" w:rsidRDefault="00000000">
            <w:r>
              <w:rPr>
                <w:sz w:val="22"/>
                <w:szCs w:val="22"/>
              </w:rPr>
              <w:t>35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A733E9D" w14:textId="77777777" w:rsidR="00D41269" w:rsidRDefault="00000000">
            <w:r>
              <w:rPr>
                <w:sz w:val="22"/>
                <w:szCs w:val="22"/>
              </w:rPr>
              <w:t>$1.3M</w:t>
            </w:r>
          </w:p>
        </w:tc>
        <w:tc>
          <w:tcPr>
            <w:tcW w:w="20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236031D" w14:textId="77777777" w:rsidR="00D41269" w:rsidRDefault="00000000">
            <w:r>
              <w:rPr>
                <w:sz w:val="22"/>
                <w:szCs w:val="22"/>
              </w:rPr>
              <w:t>61,931</w:t>
            </w:r>
          </w:p>
        </w:tc>
      </w:tr>
    </w:tbl>
    <w:p w14:paraId="06A80216" w14:textId="77777777" w:rsidR="00D41269" w:rsidRDefault="00D41269"/>
    <w:p w14:paraId="7664BC76" w14:textId="77777777" w:rsidR="00D41269" w:rsidRDefault="00000000">
      <w:pPr>
        <w:pStyle w:val="Heading2"/>
      </w:pPr>
      <w:r>
        <w:t>Customer &amp; Reseller Network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679"/>
      </w:tblGrid>
      <w:tr w:rsidR="00D41269" w14:paraId="58E4E2CB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19EFD19" w14:textId="77777777" w:rsidR="00D41269" w:rsidRDefault="00000000">
            <w:r>
              <w:rPr>
                <w:b/>
                <w:bCs/>
                <w:sz w:val="22"/>
                <w:szCs w:val="22"/>
              </w:rPr>
              <w:t>Metric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D5E8F0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B604FDF" w14:textId="77777777" w:rsidR="00D41269" w:rsidRDefault="00000000">
            <w:r>
              <w:rPr>
                <w:b/>
                <w:bCs/>
                <w:sz w:val="22"/>
                <w:szCs w:val="22"/>
              </w:rPr>
              <w:t>Count</w:t>
            </w:r>
          </w:p>
        </w:tc>
      </w:tr>
      <w:tr w:rsidR="00D41269" w14:paraId="563259E1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FDD7C35" w14:textId="77777777" w:rsidR="00D41269" w:rsidRDefault="00000000">
            <w:r>
              <w:rPr>
                <w:sz w:val="22"/>
                <w:szCs w:val="22"/>
              </w:rPr>
              <w:t>Direct Customers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EF2DDC3" w14:textId="77777777" w:rsidR="00D41269" w:rsidRDefault="00000000">
            <w:r>
              <w:rPr>
                <w:sz w:val="22"/>
                <w:szCs w:val="22"/>
              </w:rPr>
              <w:t>18,485</w:t>
            </w:r>
          </w:p>
        </w:tc>
      </w:tr>
      <w:tr w:rsidR="00D41269" w14:paraId="460B7122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4AEF6FC" w14:textId="77777777" w:rsidR="00D41269" w:rsidRDefault="00000000">
            <w:r>
              <w:rPr>
                <w:sz w:val="22"/>
                <w:szCs w:val="22"/>
              </w:rPr>
              <w:t>Average Customer Age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746111E" w14:textId="77777777" w:rsidR="00D41269" w:rsidRDefault="00000000">
            <w:r>
              <w:rPr>
                <w:sz w:val="22"/>
                <w:szCs w:val="22"/>
              </w:rPr>
              <w:t>52 years</w:t>
            </w:r>
          </w:p>
        </w:tc>
      </w:tr>
      <w:tr w:rsidR="00D41269" w14:paraId="40AF5888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FFF8E6" w14:textId="77777777" w:rsidR="00D41269" w:rsidRDefault="00000000">
            <w:r>
              <w:rPr>
                <w:sz w:val="22"/>
                <w:szCs w:val="22"/>
              </w:rPr>
              <w:t>Revenue per Customer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9FC5756" w14:textId="77777777" w:rsidR="00D41269" w:rsidRDefault="00000000">
            <w:r>
              <w:rPr>
                <w:sz w:val="22"/>
                <w:szCs w:val="22"/>
              </w:rPr>
              <w:t>$5,940</w:t>
            </w:r>
          </w:p>
        </w:tc>
      </w:tr>
      <w:tr w:rsidR="00D41269" w14:paraId="3F833D3A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E42E87" w14:textId="77777777" w:rsidR="00D41269" w:rsidRDefault="00000000">
            <w:r>
              <w:rPr>
                <w:sz w:val="22"/>
                <w:szCs w:val="22"/>
              </w:rPr>
              <w:t>Total Resellers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9D9B1B5" w14:textId="77777777" w:rsidR="00D41269" w:rsidRDefault="00000000">
            <w:r>
              <w:rPr>
                <w:sz w:val="22"/>
                <w:szCs w:val="22"/>
              </w:rPr>
              <w:t>701</w:t>
            </w:r>
          </w:p>
        </w:tc>
      </w:tr>
      <w:tr w:rsidR="00D41269" w14:paraId="55E93339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8D0B70F" w14:textId="77777777" w:rsidR="00D41269" w:rsidRDefault="00000000">
            <w:r>
              <w:rPr>
                <w:sz w:val="22"/>
                <w:szCs w:val="22"/>
              </w:rPr>
              <w:t>Value Added Resellers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A0B7DE2" w14:textId="77777777" w:rsidR="00D41269" w:rsidRDefault="00000000">
            <w:r>
              <w:rPr>
                <w:sz w:val="22"/>
                <w:szCs w:val="22"/>
              </w:rPr>
              <w:t>238 ($35.0M revenue)</w:t>
            </w:r>
          </w:p>
        </w:tc>
      </w:tr>
      <w:tr w:rsidR="00D41269" w14:paraId="3CD699DC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E5EEFAA" w14:textId="77777777" w:rsidR="00D41269" w:rsidRDefault="00000000">
            <w:r>
              <w:rPr>
                <w:sz w:val="22"/>
                <w:szCs w:val="22"/>
              </w:rPr>
              <w:t>Warehouse Partners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B1D446B" w14:textId="77777777" w:rsidR="00D41269" w:rsidRDefault="00000000">
            <w:r>
              <w:rPr>
                <w:sz w:val="22"/>
                <w:szCs w:val="22"/>
              </w:rPr>
              <w:t>232 ($38.7M revenue)</w:t>
            </w:r>
          </w:p>
        </w:tc>
      </w:tr>
      <w:tr w:rsidR="00D41269" w14:paraId="76A385AB" w14:textId="77777777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FD9505C" w14:textId="77777777" w:rsidR="00D41269" w:rsidRDefault="00000000">
            <w:r>
              <w:rPr>
                <w:sz w:val="22"/>
                <w:szCs w:val="22"/>
              </w:rPr>
              <w:t>Specialty Bike Shops</w:t>
            </w:r>
          </w:p>
        </w:tc>
        <w:tc>
          <w:tcPr>
            <w:tcW w:w="4680" w:type="dxa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EEC9F2F" w14:textId="77777777" w:rsidR="00D41269" w:rsidRDefault="00000000">
            <w:r>
              <w:rPr>
                <w:sz w:val="22"/>
                <w:szCs w:val="22"/>
              </w:rPr>
              <w:t>231 ($6.8M revenue)</w:t>
            </w:r>
          </w:p>
        </w:tc>
      </w:tr>
    </w:tbl>
    <w:p w14:paraId="7A4BE8C7" w14:textId="77777777" w:rsidR="00D41269" w:rsidRDefault="00D41269"/>
    <w:p w14:paraId="44674602" w14:textId="77777777" w:rsidR="00D41269" w:rsidRDefault="00000000">
      <w:r>
        <w:t>• Reseller channel dominates revenue (73.3%) despite equal transaction volume split</w:t>
      </w:r>
    </w:p>
    <w:p w14:paraId="48F589B3" w14:textId="77777777" w:rsidR="00D41269" w:rsidRDefault="00000000">
      <w:r>
        <w:t>• Mountain-200 series bikes are clear revenue leaders, with top 5 products generating $10.9M</w:t>
      </w:r>
    </w:p>
    <w:p w14:paraId="0EB0831A" w14:textId="77777777" w:rsidR="00D41269" w:rsidRDefault="00000000">
      <w:r>
        <w:t xml:space="preserve">• Strong North American presence (Southwest, Northwest, Canada </w:t>
      </w:r>
      <w:proofErr w:type="gramStart"/>
      <w:r>
        <w:t>represent</w:t>
      </w:r>
      <w:proofErr w:type="gramEnd"/>
      <w:r>
        <w:t xml:space="preserve"> $56.6M or 51.5%)</w:t>
      </w:r>
    </w:p>
    <w:p w14:paraId="24A24594" w14:textId="77777777" w:rsidR="00D41269" w:rsidRDefault="00000000">
      <w:r>
        <w:t>• E-commerce capabilities with dedicated management indicate omnichannel strategy</w:t>
      </w:r>
    </w:p>
    <w:p w14:paraId="0053FD09" w14:textId="77777777" w:rsidR="00D41269" w:rsidRDefault="00000000">
      <w:r>
        <w:t>• Mature customer base (avg age 52) suggests opportunity for demographic expansion</w:t>
      </w:r>
    </w:p>
    <w:sectPr w:rsidR="00D41269"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E7A4C"/>
    <w:multiLevelType w:val="hybridMultilevel"/>
    <w:tmpl w:val="204C53FC"/>
    <w:lvl w:ilvl="0" w:tplc="5DA056BA">
      <w:start w:val="1"/>
      <w:numFmt w:val="bullet"/>
      <w:lvlText w:val="●"/>
      <w:lvlJc w:val="left"/>
      <w:pPr>
        <w:ind w:left="720" w:hanging="360"/>
      </w:pPr>
    </w:lvl>
    <w:lvl w:ilvl="1" w:tplc="B2E0BEE6">
      <w:start w:val="1"/>
      <w:numFmt w:val="bullet"/>
      <w:lvlText w:val="○"/>
      <w:lvlJc w:val="left"/>
      <w:pPr>
        <w:ind w:left="1440" w:hanging="360"/>
      </w:pPr>
    </w:lvl>
    <w:lvl w:ilvl="2" w:tplc="EE82A7D8">
      <w:start w:val="1"/>
      <w:numFmt w:val="bullet"/>
      <w:lvlText w:val="■"/>
      <w:lvlJc w:val="left"/>
      <w:pPr>
        <w:ind w:left="2160" w:hanging="360"/>
      </w:pPr>
    </w:lvl>
    <w:lvl w:ilvl="3" w:tplc="ACD04010">
      <w:start w:val="1"/>
      <w:numFmt w:val="bullet"/>
      <w:lvlText w:val="●"/>
      <w:lvlJc w:val="left"/>
      <w:pPr>
        <w:ind w:left="2880" w:hanging="360"/>
      </w:pPr>
    </w:lvl>
    <w:lvl w:ilvl="4" w:tplc="2CFC2F6C">
      <w:start w:val="1"/>
      <w:numFmt w:val="bullet"/>
      <w:lvlText w:val="○"/>
      <w:lvlJc w:val="left"/>
      <w:pPr>
        <w:ind w:left="3600" w:hanging="360"/>
      </w:pPr>
    </w:lvl>
    <w:lvl w:ilvl="5" w:tplc="AAF2A4A6">
      <w:start w:val="1"/>
      <w:numFmt w:val="bullet"/>
      <w:lvlText w:val="■"/>
      <w:lvlJc w:val="left"/>
      <w:pPr>
        <w:ind w:left="4320" w:hanging="360"/>
      </w:pPr>
    </w:lvl>
    <w:lvl w:ilvl="6" w:tplc="F7FE4D1C">
      <w:start w:val="1"/>
      <w:numFmt w:val="bullet"/>
      <w:lvlText w:val="●"/>
      <w:lvlJc w:val="left"/>
      <w:pPr>
        <w:ind w:left="5040" w:hanging="360"/>
      </w:pPr>
    </w:lvl>
    <w:lvl w:ilvl="7" w:tplc="8B70C9D4">
      <w:start w:val="1"/>
      <w:numFmt w:val="bullet"/>
      <w:lvlText w:val="●"/>
      <w:lvlJc w:val="left"/>
      <w:pPr>
        <w:ind w:left="5760" w:hanging="360"/>
      </w:pPr>
    </w:lvl>
    <w:lvl w:ilvl="8" w:tplc="82F45B6E">
      <w:start w:val="1"/>
      <w:numFmt w:val="bullet"/>
      <w:lvlText w:val="●"/>
      <w:lvlJc w:val="left"/>
      <w:pPr>
        <w:ind w:left="6480" w:hanging="360"/>
      </w:pPr>
    </w:lvl>
  </w:abstractNum>
  <w:num w:numId="1" w16cid:durableId="194330030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69"/>
    <w:rsid w:val="007B587B"/>
    <w:rsid w:val="0094596D"/>
    <w:rsid w:val="00D41269"/>
    <w:rsid w:val="00E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5119F"/>
  <w15:docId w15:val="{01CDAF88-74DC-4870-9D7D-271B6CCC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spacing w:before="240" w:after="120"/>
      <w:outlineLvl w:val="0"/>
    </w:pPr>
    <w:rPr>
      <w:b/>
      <w:bCs/>
      <w:color w:val="1F4E78"/>
      <w:sz w:val="32"/>
      <w:szCs w:val="32"/>
    </w:rPr>
  </w:style>
  <w:style w:type="paragraph" w:styleId="Heading2">
    <w:name w:val="heading 2"/>
    <w:uiPriority w:val="9"/>
    <w:unhideWhenUsed/>
    <w:qFormat/>
    <w:pPr>
      <w:spacing w:before="180" w:after="100"/>
      <w:outlineLvl w:val="1"/>
    </w:pPr>
    <w:rPr>
      <w:b/>
      <w:bCs/>
      <w:color w:val="2E75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72C54C5A4D49AE14502C3D96987D" ma:contentTypeVersion="15" ma:contentTypeDescription="Create a new document." ma:contentTypeScope="" ma:versionID="15cf66bcacd8a6f5605a28db7a3ce987">
  <xsd:schema xmlns:xsd="http://www.w3.org/2001/XMLSchema" xmlns:xs="http://www.w3.org/2001/XMLSchema" xmlns:p="http://schemas.microsoft.com/office/2006/metadata/properties" xmlns:ns2="9b5e435d-8b7a-4d19-a19b-5c69a8b80c33" xmlns:ns3="3d899022-282e-4475-93b2-b51437ec4763" targetNamespace="http://schemas.microsoft.com/office/2006/metadata/properties" ma:root="true" ma:fieldsID="b7f8509400b7d93bbdc5d434906c1cdb" ns2:_="" ns3:_="">
    <xsd:import namespace="9b5e435d-8b7a-4d19-a19b-5c69a8b80c33"/>
    <xsd:import namespace="3d899022-282e-4475-93b2-b51437ec47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435d-8b7a-4d19-a19b-5c69a8b80c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ec4aab-1492-4f24-b5c2-1cc27d6c532d}" ma:internalName="TaxCatchAll" ma:showField="CatchAllData" ma:web="9b5e435d-8b7a-4d19-a19b-5c69a8b80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99022-282e-4475-93b2-b51437ec4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fe47d8-3a67-4dcc-b799-4df6a09927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899022-282e-4475-93b2-b51437ec4763">
      <Terms xmlns="http://schemas.microsoft.com/office/infopath/2007/PartnerControls"/>
    </lcf76f155ced4ddcb4097134ff3c332f>
    <TaxCatchAll xmlns="9b5e435d-8b7a-4d19-a19b-5c69a8b80c33" xsi:nil="true"/>
  </documentManagement>
</p:properties>
</file>

<file path=customXml/itemProps1.xml><?xml version="1.0" encoding="utf-8"?>
<ds:datastoreItem xmlns:ds="http://schemas.openxmlformats.org/officeDocument/2006/customXml" ds:itemID="{FE5EA690-FD79-41AC-97AC-39BCBC5065B1}"/>
</file>

<file path=customXml/itemProps2.xml><?xml version="1.0" encoding="utf-8"?>
<ds:datastoreItem xmlns:ds="http://schemas.openxmlformats.org/officeDocument/2006/customXml" ds:itemID="{37417FB1-332C-45A0-8B67-F3F8D6296EBB}"/>
</file>

<file path=customXml/itemProps3.xml><?xml version="1.0" encoding="utf-8"?>
<ds:datastoreItem xmlns:ds="http://schemas.openxmlformats.org/officeDocument/2006/customXml" ds:itemID="{531796F8-9924-46C0-BC91-39E8392BA5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Ali  Noorani</cp:lastModifiedBy>
  <cp:revision>3</cp:revision>
  <dcterms:created xsi:type="dcterms:W3CDTF">2026-01-15T05:19:00Z</dcterms:created>
  <dcterms:modified xsi:type="dcterms:W3CDTF">2026-01-15T05:24:00Z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0x0101001CD272C54C5A4D49AE14502C3D96987D</vt:lpwstr>
  </property>
</Properties>
</file>